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4C6D5" w14:textId="77777777" w:rsidR="00705253" w:rsidRPr="00705253" w:rsidRDefault="00705253" w:rsidP="00705253">
      <w:pPr>
        <w:jc w:val="center"/>
        <w:rPr>
          <w:b/>
          <w:sz w:val="24"/>
        </w:rPr>
      </w:pPr>
      <w:r w:rsidRPr="00705253">
        <w:rPr>
          <w:b/>
          <w:sz w:val="24"/>
        </w:rPr>
        <w:t>Guidance on Paying Federal Employees with NIH Grant Funds</w:t>
      </w:r>
    </w:p>
    <w:p w14:paraId="204F1903" w14:textId="1B62C0C4" w:rsidR="001B30B2" w:rsidRDefault="001B30B2" w:rsidP="00AD59C7">
      <w:r>
        <w:t xml:space="preserve">NIH OPERA provided clarifying guidance about NIH policy concerning payment from NIH grant funds to support Federal employees.  The NIH Grants Policy Statement </w:t>
      </w:r>
      <w:r w:rsidR="00E641EE">
        <w:t>paragraph 17.6</w:t>
      </w:r>
      <w:r>
        <w:t xml:space="preserve"> </w:t>
      </w:r>
      <w:r w:rsidR="00E641EE">
        <w:t>states, “</w:t>
      </w:r>
      <w:r w:rsidR="00E641EE" w:rsidRPr="00E641EE">
        <w:t>In most circumstances no salary or fringe benefit payments may be made from NIH grant funds to support Federal employees.</w:t>
      </w:r>
      <w:r w:rsidR="00E641EE">
        <w:t xml:space="preserve">”  </w:t>
      </w:r>
      <w:r w:rsidR="00AD292C">
        <w:t xml:space="preserve">Paragraph 17.6 </w:t>
      </w:r>
      <w:r w:rsidR="00E641EE">
        <w:t xml:space="preserve">provides three exceptions to allow payment of salary and fringe benefits when prior approval is obtained from an authorized official of the employee’s agency and the employee is one of the following:  </w:t>
      </w:r>
    </w:p>
    <w:p w14:paraId="157F57F7" w14:textId="77777777" w:rsidR="00E641EE" w:rsidRDefault="00E641EE" w:rsidP="0049484D">
      <w:pPr>
        <w:pStyle w:val="ListParagraph"/>
        <w:numPr>
          <w:ilvl w:val="0"/>
          <w:numId w:val="3"/>
        </w:numPr>
      </w:pPr>
      <w:r>
        <w:t>A temporary employee specifically hired to assist in the performance of an NIH grant</w:t>
      </w:r>
    </w:p>
    <w:p w14:paraId="515E6A55" w14:textId="77777777" w:rsidR="00E641EE" w:rsidRDefault="00E641EE" w:rsidP="0049484D">
      <w:pPr>
        <w:pStyle w:val="ListParagraph"/>
        <w:numPr>
          <w:ilvl w:val="0"/>
          <w:numId w:val="3"/>
        </w:numPr>
      </w:pPr>
      <w:r>
        <w:t>A civil service employee participating in a grant to a non-Federal organization as part of an approved IPA assignment in a role other than as PD/PI</w:t>
      </w:r>
    </w:p>
    <w:p w14:paraId="2E222349" w14:textId="77777777" w:rsidR="00E641EE" w:rsidRDefault="00E641EE" w:rsidP="0049484D">
      <w:pPr>
        <w:pStyle w:val="ListParagraph"/>
        <w:numPr>
          <w:ilvl w:val="0"/>
          <w:numId w:val="3"/>
        </w:numPr>
      </w:pPr>
      <w:r>
        <w:t>A part-time VA employee a</w:t>
      </w:r>
      <w:r w:rsidR="00990E0A">
        <w:t>t</w:t>
      </w:r>
      <w:r>
        <w:t xml:space="preserve"> a VA NPC for which NIH grant funds are used </w:t>
      </w:r>
      <w:r w:rsidRPr="00E641EE">
        <w:t>to pay the differential between the individual's VA part-time salary and the salary level for a full-time VANPC commitment in proportion to the level of effort devoted to the project.</w:t>
      </w:r>
    </w:p>
    <w:p w14:paraId="6EB06A47" w14:textId="77777777" w:rsidR="007E5FE2" w:rsidRDefault="007E5FE2" w:rsidP="00705253">
      <w:pPr>
        <w:spacing w:after="0"/>
      </w:pPr>
      <w:r>
        <w:t>NIH Grants Policy Statement paragraph 17.6 can be found at</w:t>
      </w:r>
      <w:r w:rsidR="0041047A">
        <w:t>:</w:t>
      </w:r>
    </w:p>
    <w:p w14:paraId="00EA1FEE" w14:textId="77777777" w:rsidR="00625149" w:rsidRPr="0041047A" w:rsidRDefault="00625149" w:rsidP="00705253">
      <w:pPr>
        <w:spacing w:after="0"/>
        <w:rPr>
          <w:i/>
        </w:rPr>
      </w:pPr>
      <w:r w:rsidRPr="0041047A">
        <w:rPr>
          <w:i/>
        </w:rPr>
        <w:t>https://grants.nih.gov/grants/policy/nihgps/HTML5/section_17/17.6_allowable_and_unallowable_costs.htm#Federal_(U.S._Government)_Employees._</w:t>
      </w:r>
    </w:p>
    <w:p w14:paraId="30D7A3EF" w14:textId="77777777" w:rsidR="002417EB" w:rsidRDefault="002417EB" w:rsidP="007E5FE2">
      <w:pPr>
        <w:spacing w:after="0"/>
      </w:pPr>
    </w:p>
    <w:p w14:paraId="5BB8E3B0" w14:textId="27FEDC40" w:rsidR="002417EB" w:rsidRPr="00C32488" w:rsidRDefault="005C72E0" w:rsidP="007E5FE2">
      <w:pPr>
        <w:spacing w:after="0"/>
        <w:rPr>
          <w:u w:val="single"/>
        </w:rPr>
      </w:pPr>
      <w:r w:rsidRPr="00C32488">
        <w:rPr>
          <w:u w:val="single"/>
        </w:rPr>
        <w:t>Ex</w:t>
      </w:r>
      <w:r w:rsidR="0041047A" w:rsidRPr="00C32488">
        <w:rPr>
          <w:u w:val="single"/>
        </w:rPr>
        <w:t>cep</w:t>
      </w:r>
      <w:r w:rsidRPr="00C32488">
        <w:rPr>
          <w:u w:val="single"/>
        </w:rPr>
        <w:t>tion #1</w:t>
      </w:r>
      <w:r w:rsidR="002417EB" w:rsidRPr="00C32488">
        <w:rPr>
          <w:u w:val="single"/>
        </w:rPr>
        <w:t xml:space="preserve"> </w:t>
      </w:r>
      <w:r w:rsidR="0041047A" w:rsidRPr="00C32488">
        <w:rPr>
          <w:u w:val="single"/>
        </w:rPr>
        <w:t xml:space="preserve">- </w:t>
      </w:r>
      <w:r w:rsidR="002417EB" w:rsidRPr="00C32488">
        <w:rPr>
          <w:u w:val="single"/>
        </w:rPr>
        <w:t xml:space="preserve">A temporary </w:t>
      </w:r>
      <w:r w:rsidR="006F3EBB" w:rsidRPr="00C32488">
        <w:rPr>
          <w:u w:val="single"/>
        </w:rPr>
        <w:t xml:space="preserve">VA </w:t>
      </w:r>
      <w:r w:rsidR="002417EB" w:rsidRPr="00C32488">
        <w:rPr>
          <w:u w:val="single"/>
        </w:rPr>
        <w:t>employee specifically hired to assist in the performance of an NIH grant</w:t>
      </w:r>
    </w:p>
    <w:p w14:paraId="5F03B070" w14:textId="79252F84" w:rsidR="005C72E0" w:rsidRPr="00C32488" w:rsidRDefault="00193B9D" w:rsidP="007E5FE2">
      <w:pPr>
        <w:pStyle w:val="ListParagraph"/>
        <w:numPr>
          <w:ilvl w:val="0"/>
          <w:numId w:val="4"/>
        </w:numPr>
        <w:spacing w:after="0"/>
      </w:pPr>
      <w:r w:rsidRPr="00C32488">
        <w:t>VA temporary, term</w:t>
      </w:r>
      <w:r w:rsidR="00B97F35" w:rsidRPr="00C32488">
        <w:t>,</w:t>
      </w:r>
      <w:r w:rsidRPr="00C32488">
        <w:t xml:space="preserve"> and time-limited appointments meet the intention of NIH GPS 17.6 exception 1 for an individual hired specifically to assist in a research project</w:t>
      </w:r>
      <w:r w:rsidR="00B97F35" w:rsidRPr="00C32488">
        <w:t xml:space="preserve">.  </w:t>
      </w:r>
      <w:r w:rsidR="00625149" w:rsidRPr="00C32488">
        <w:t xml:space="preserve">These individuals will be identified as </w:t>
      </w:r>
      <w:r w:rsidR="006F3EBB" w:rsidRPr="00C32488">
        <w:t>“</w:t>
      </w:r>
      <w:r w:rsidR="00A87047" w:rsidRPr="00C32488">
        <w:t>T</w:t>
      </w:r>
      <w:r w:rsidR="00625149" w:rsidRPr="00C32488">
        <w:t xml:space="preserve">enure </w:t>
      </w:r>
      <w:r w:rsidR="00A87047" w:rsidRPr="00C32488">
        <w:t>G</w:t>
      </w:r>
      <w:r w:rsidR="00625149" w:rsidRPr="00C32488">
        <w:t xml:space="preserve">roup 3” in </w:t>
      </w:r>
      <w:r w:rsidR="00A87047" w:rsidRPr="00C32488">
        <w:t>B</w:t>
      </w:r>
      <w:r w:rsidR="00625149" w:rsidRPr="00C32488">
        <w:t>ox 24 of their SF50</w:t>
      </w:r>
      <w:r w:rsidR="00A87047" w:rsidRPr="00C32488">
        <w:t>, Notification of Personnel Action</w:t>
      </w:r>
      <w:r w:rsidR="00CD12CB" w:rsidRPr="00C32488">
        <w:t xml:space="preserve">.  </w:t>
      </w:r>
      <w:r w:rsidR="00625149" w:rsidRPr="00C32488">
        <w:t xml:space="preserve"> (</w:t>
      </w:r>
      <w:r w:rsidR="00CD12CB" w:rsidRPr="00C32488">
        <w:t>S</w:t>
      </w:r>
      <w:r w:rsidR="00625149" w:rsidRPr="00C32488">
        <w:t xml:space="preserve">ee attached </w:t>
      </w:r>
      <w:r w:rsidR="00A87047" w:rsidRPr="00C32488">
        <w:t>SF50 and T</w:t>
      </w:r>
      <w:r w:rsidR="00625149" w:rsidRPr="00C32488">
        <w:t xml:space="preserve">able </w:t>
      </w:r>
      <w:r w:rsidR="00A87047" w:rsidRPr="00C32488">
        <w:t xml:space="preserve">with a description of the Tenure Groups for both Competitive and </w:t>
      </w:r>
      <w:r w:rsidR="00CD12CB" w:rsidRPr="00C32488">
        <w:t>Excepted Service</w:t>
      </w:r>
      <w:r w:rsidR="00625149" w:rsidRPr="00C32488">
        <w:t xml:space="preserve">).  </w:t>
      </w:r>
    </w:p>
    <w:p w14:paraId="55FA8EB0" w14:textId="77777777" w:rsidR="006F3EBB" w:rsidRDefault="005C72E0" w:rsidP="005C72E0">
      <w:pPr>
        <w:pStyle w:val="ListParagraph"/>
        <w:numPr>
          <w:ilvl w:val="0"/>
          <w:numId w:val="4"/>
        </w:numPr>
      </w:pPr>
      <w:r>
        <w:t>T</w:t>
      </w:r>
      <w:r w:rsidR="00B97F35">
        <w:t>he VA employee does not need to be working on the NIH grant exclusively for this exception to apply</w:t>
      </w:r>
      <w:r>
        <w:t xml:space="preserve"> </w:t>
      </w:r>
      <w:r w:rsidRPr="0041047A">
        <w:t>and they can have been hired by the VA prior to the start of the NIH grant</w:t>
      </w:r>
      <w:r w:rsidR="00B97F35" w:rsidRPr="0041047A">
        <w:t>.</w:t>
      </w:r>
      <w:r w:rsidR="00B97F35">
        <w:t xml:space="preserve">  </w:t>
      </w:r>
    </w:p>
    <w:p w14:paraId="2B94A496" w14:textId="6C500C73" w:rsidR="005C72E0" w:rsidRDefault="002F3998" w:rsidP="005C72E0">
      <w:pPr>
        <w:pStyle w:val="ListParagraph"/>
        <w:numPr>
          <w:ilvl w:val="0"/>
          <w:numId w:val="4"/>
        </w:numPr>
      </w:pPr>
      <w:r>
        <w:t>The VA employee must have the appropriate skills and expertise to be hired on the NIH research project.</w:t>
      </w:r>
    </w:p>
    <w:p w14:paraId="007AD78D" w14:textId="77777777" w:rsidR="005C72E0" w:rsidRPr="005C72E0" w:rsidRDefault="005C72E0" w:rsidP="005C72E0">
      <w:pPr>
        <w:pStyle w:val="ListParagraph"/>
        <w:numPr>
          <w:ilvl w:val="0"/>
          <w:numId w:val="4"/>
        </w:numPr>
      </w:pPr>
      <w:r>
        <w:t>T</w:t>
      </w:r>
      <w:r w:rsidR="00B97F35">
        <w:t xml:space="preserve">otal </w:t>
      </w:r>
      <w:r w:rsidR="00990E0A">
        <w:t xml:space="preserve">remuneration must not exceed 40 hours/week </w:t>
      </w:r>
      <w:r w:rsidRPr="0041047A">
        <w:t>(e.g. 8/8ths)</w:t>
      </w:r>
    </w:p>
    <w:p w14:paraId="03ABF386" w14:textId="77777777" w:rsidR="005C72E0" w:rsidRPr="002417EB" w:rsidRDefault="005C72E0" w:rsidP="002417EB">
      <w:pPr>
        <w:pStyle w:val="ListParagraph"/>
        <w:numPr>
          <w:ilvl w:val="0"/>
          <w:numId w:val="4"/>
        </w:numPr>
      </w:pPr>
      <w:r>
        <w:t xml:space="preserve">The </w:t>
      </w:r>
      <w:r w:rsidR="00990E0A">
        <w:t>VAMC must review and document that there will be no dual compensation</w:t>
      </w:r>
      <w:r>
        <w:t xml:space="preserve">. </w:t>
      </w:r>
    </w:p>
    <w:p w14:paraId="76AA111A" w14:textId="77777777" w:rsidR="00B97F35" w:rsidRPr="005C72E0" w:rsidRDefault="005C72E0" w:rsidP="002417EB">
      <w:pPr>
        <w:pStyle w:val="ListParagraph"/>
        <w:numPr>
          <w:ilvl w:val="0"/>
          <w:numId w:val="4"/>
        </w:numPr>
        <w:rPr>
          <w:rFonts w:asciiTheme="majorHAnsi" w:eastAsiaTheme="majorEastAsia" w:hAnsiTheme="majorHAnsi" w:cstheme="majorBidi"/>
          <w:i/>
          <w:iCs/>
          <w:color w:val="2F5496" w:themeColor="accent1" w:themeShade="BF"/>
          <w:sz w:val="24"/>
          <w:szCs w:val="24"/>
        </w:rPr>
      </w:pPr>
      <w:r w:rsidRPr="002417EB">
        <w:t>Example</w:t>
      </w:r>
      <w:r w:rsidR="00B97F35" w:rsidRPr="0041047A">
        <w:rPr>
          <w:rFonts w:cstheme="minorHAnsi"/>
        </w:rPr>
        <w:t xml:space="preserve">:  </w:t>
      </w:r>
      <w:r w:rsidRPr="0041047A">
        <w:rPr>
          <w:rFonts w:cstheme="minorHAnsi"/>
          <w:i/>
          <w:color w:val="000000" w:themeColor="text1"/>
        </w:rPr>
        <w:t>A</w:t>
      </w:r>
      <w:r w:rsidR="00B97F35" w:rsidRPr="0041047A">
        <w:rPr>
          <w:rFonts w:cstheme="minorHAnsi"/>
          <w:i/>
          <w:color w:val="000000" w:themeColor="text1"/>
        </w:rPr>
        <w:t xml:space="preserve"> VAMC research engineer being proposed for work part-time on an NIH</w:t>
      </w:r>
      <w:r w:rsidR="00B97F35" w:rsidRPr="0041047A">
        <w:rPr>
          <w:rFonts w:eastAsiaTheme="majorEastAsia" w:cstheme="minorHAnsi"/>
          <w:i/>
          <w:iCs/>
          <w:color w:val="000000" w:themeColor="text1"/>
        </w:rPr>
        <w:t xml:space="preserve"> grant administered by the NPC</w:t>
      </w:r>
      <w:r w:rsidR="002417EB" w:rsidRPr="0041047A">
        <w:rPr>
          <w:rFonts w:eastAsiaTheme="majorEastAsia" w:cstheme="minorHAnsi"/>
          <w:i/>
          <w:iCs/>
          <w:color w:val="000000" w:themeColor="text1"/>
        </w:rPr>
        <w:t xml:space="preserve"> or the academic affiliate</w:t>
      </w:r>
      <w:r w:rsidR="00B97F35" w:rsidRPr="0041047A">
        <w:rPr>
          <w:rFonts w:eastAsiaTheme="majorEastAsia" w:cstheme="minorHAnsi"/>
          <w:i/>
          <w:iCs/>
          <w:color w:val="000000" w:themeColor="text1"/>
        </w:rPr>
        <w:t>.</w:t>
      </w:r>
      <w:r w:rsidR="00B97F35" w:rsidRPr="002417EB">
        <w:rPr>
          <w:rFonts w:asciiTheme="majorHAnsi" w:eastAsiaTheme="majorEastAsia" w:hAnsiTheme="majorHAnsi" w:cstheme="majorBidi"/>
          <w:i/>
          <w:iCs/>
          <w:color w:val="000000" w:themeColor="text1"/>
          <w:sz w:val="24"/>
          <w:szCs w:val="24"/>
        </w:rPr>
        <w:t xml:space="preserve">  </w:t>
      </w:r>
    </w:p>
    <w:p w14:paraId="755F0B56" w14:textId="7C44DA78" w:rsidR="005C72E0" w:rsidRPr="00024345" w:rsidRDefault="00B97F35" w:rsidP="005C72E0">
      <w:pPr>
        <w:pStyle w:val="ListParagraph"/>
        <w:numPr>
          <w:ilvl w:val="0"/>
          <w:numId w:val="5"/>
        </w:numPr>
      </w:pPr>
      <w:r w:rsidRPr="00B97F35">
        <w:t>Th</w:t>
      </w:r>
      <w:r w:rsidR="002417EB">
        <w:t>e</w:t>
      </w:r>
      <w:r w:rsidRPr="00B97F35">
        <w:t xml:space="preserve"> individual </w:t>
      </w:r>
      <w:r w:rsidR="005C72E0">
        <w:t>is</w:t>
      </w:r>
      <w:r w:rsidRPr="00B97F35">
        <w:t xml:space="preserve"> appointed in </w:t>
      </w:r>
      <w:r w:rsidR="005C72E0">
        <w:t xml:space="preserve">a </w:t>
      </w:r>
      <w:r w:rsidRPr="00B97F35">
        <w:t>full-time temporary position (Tenure Group 3</w:t>
      </w:r>
      <w:r w:rsidR="00625149">
        <w:t xml:space="preserve"> </w:t>
      </w:r>
      <w:r w:rsidR="00625149" w:rsidRPr="00024345">
        <w:t>on their SF 50</w:t>
      </w:r>
      <w:r w:rsidR="007E5FE2" w:rsidRPr="00024345">
        <w:t>) and</w:t>
      </w:r>
      <w:r w:rsidRPr="00024345">
        <w:t xml:space="preserve"> will continue to be </w:t>
      </w:r>
      <w:r w:rsidR="008E45DF">
        <w:t xml:space="preserve">a </w:t>
      </w:r>
      <w:r w:rsidRPr="00024345">
        <w:t xml:space="preserve">full-time VA employee </w:t>
      </w:r>
      <w:r w:rsidR="005C72E0" w:rsidRPr="00024345">
        <w:t>while working</w:t>
      </w:r>
      <w:r w:rsidRPr="00024345">
        <w:t xml:space="preserve"> o</w:t>
      </w:r>
      <w:r w:rsidR="005C72E0" w:rsidRPr="00024345">
        <w:t>n the NIH</w:t>
      </w:r>
      <w:r w:rsidRPr="00024345">
        <w:t xml:space="preserve"> grant. </w:t>
      </w:r>
    </w:p>
    <w:p w14:paraId="5A42CA9E" w14:textId="77777777" w:rsidR="005C72E0" w:rsidRDefault="00B97F35" w:rsidP="005C72E0">
      <w:pPr>
        <w:pStyle w:val="ListParagraph"/>
        <w:numPr>
          <w:ilvl w:val="0"/>
          <w:numId w:val="5"/>
        </w:numPr>
      </w:pPr>
      <w:r w:rsidRPr="00B97F35">
        <w:t>The</w:t>
      </w:r>
      <w:r w:rsidR="005C72E0">
        <w:t>ir</w:t>
      </w:r>
      <w:r w:rsidRPr="00B97F35">
        <w:t xml:space="preserve"> VA personnel file should indicate that part or </w:t>
      </w:r>
      <w:proofErr w:type="gramStart"/>
      <w:r w:rsidRPr="00B97F35">
        <w:t>all of</w:t>
      </w:r>
      <w:proofErr w:type="gramEnd"/>
      <w:r w:rsidRPr="00B97F35">
        <w:t xml:space="preserve"> their temporary VAMC employment is working on the NIH award for the period of the award.  </w:t>
      </w:r>
    </w:p>
    <w:p w14:paraId="4F63EA49" w14:textId="77777777" w:rsidR="005C72E0" w:rsidRDefault="002417EB" w:rsidP="005C72E0">
      <w:pPr>
        <w:pStyle w:val="ListParagraph"/>
        <w:numPr>
          <w:ilvl w:val="0"/>
          <w:numId w:val="5"/>
        </w:numPr>
      </w:pPr>
      <w:r>
        <w:t xml:space="preserve">The </w:t>
      </w:r>
      <w:r w:rsidR="005C72E0" w:rsidRPr="00B97F35">
        <w:t xml:space="preserve">Associate Chief of Staff for Research </w:t>
      </w:r>
      <w:r w:rsidR="005C72E0">
        <w:t>should</w:t>
      </w:r>
      <w:r w:rsidR="005C72E0" w:rsidRPr="00B97F35">
        <w:t xml:space="preserve"> affirm </w:t>
      </w:r>
      <w:r w:rsidR="005C72E0">
        <w:t>in writing</w:t>
      </w:r>
      <w:r w:rsidR="005C72E0" w:rsidRPr="00B97F35">
        <w:t xml:space="preserve"> that there will be no dual compensation.  </w:t>
      </w:r>
    </w:p>
    <w:p w14:paraId="471FD905" w14:textId="77777777" w:rsidR="00B97F35" w:rsidRDefault="002417EB" w:rsidP="00B97F35">
      <w:r w:rsidRPr="002417EB">
        <w:rPr>
          <w:u w:val="single"/>
        </w:rPr>
        <w:t>Ex</w:t>
      </w:r>
      <w:r w:rsidR="00705253">
        <w:rPr>
          <w:u w:val="single"/>
        </w:rPr>
        <w:t>ce</w:t>
      </w:r>
      <w:r w:rsidRPr="002417EB">
        <w:rPr>
          <w:u w:val="single"/>
        </w:rPr>
        <w:t>ption #</w:t>
      </w:r>
      <w:r>
        <w:rPr>
          <w:u w:val="single"/>
        </w:rPr>
        <w:t xml:space="preserve">2: </w:t>
      </w:r>
      <w:r w:rsidRPr="002417EB">
        <w:rPr>
          <w:u w:val="single"/>
        </w:rPr>
        <w:t xml:space="preserve"> A</w:t>
      </w:r>
      <w:r>
        <w:rPr>
          <w:u w:val="single"/>
        </w:rPr>
        <w:t xml:space="preserve"> VA employee on an IPA to a non-Federal institution </w:t>
      </w:r>
      <w:r w:rsidR="007E5FE2">
        <w:rPr>
          <w:u w:val="single"/>
        </w:rPr>
        <w:t>with</w:t>
      </w:r>
      <w:r>
        <w:rPr>
          <w:u w:val="single"/>
        </w:rPr>
        <w:t xml:space="preserve"> an NIH grant</w:t>
      </w:r>
    </w:p>
    <w:p w14:paraId="2BD5813D" w14:textId="77777777" w:rsidR="002417EB" w:rsidRDefault="002417EB" w:rsidP="002417EB">
      <w:pPr>
        <w:pStyle w:val="ListParagraph"/>
        <w:numPr>
          <w:ilvl w:val="0"/>
          <w:numId w:val="4"/>
        </w:numPr>
      </w:pPr>
      <w:r w:rsidRPr="00B97F35">
        <w:t>Th</w:t>
      </w:r>
      <w:r>
        <w:t>e</w:t>
      </w:r>
      <w:r w:rsidRPr="00B97F35">
        <w:t xml:space="preserve"> individual </w:t>
      </w:r>
      <w:r>
        <w:t>is</w:t>
      </w:r>
      <w:r w:rsidRPr="00B97F35">
        <w:t xml:space="preserve"> </w:t>
      </w:r>
      <w:r>
        <w:t>a on an approved IPA between the VA and the NPC, or between the VA and the academic affiliate</w:t>
      </w:r>
      <w:r w:rsidRPr="00B97F35">
        <w:t xml:space="preserve">. </w:t>
      </w:r>
    </w:p>
    <w:p w14:paraId="38CBD4A2" w14:textId="142BA114" w:rsidR="002417EB" w:rsidRDefault="002417EB" w:rsidP="002417EB">
      <w:pPr>
        <w:pStyle w:val="ListParagraph"/>
        <w:numPr>
          <w:ilvl w:val="0"/>
          <w:numId w:val="4"/>
        </w:numPr>
      </w:pPr>
      <w:r>
        <w:lastRenderedPageBreak/>
        <w:t xml:space="preserve">Only permanent VA employees are eligible for IPAs.  This would be indicated as </w:t>
      </w:r>
      <w:r w:rsidR="00221842">
        <w:t xml:space="preserve">Tenure Groups </w:t>
      </w:r>
      <w:r>
        <w:t>1 or 2 on box 24 of their SF50 form.</w:t>
      </w:r>
    </w:p>
    <w:p w14:paraId="7EA90BA9" w14:textId="77777777" w:rsidR="002417EB" w:rsidRDefault="002417EB" w:rsidP="002417EB">
      <w:pPr>
        <w:pStyle w:val="ListParagraph"/>
        <w:numPr>
          <w:ilvl w:val="0"/>
          <w:numId w:val="4"/>
        </w:numPr>
      </w:pPr>
      <w:r>
        <w:t xml:space="preserve">Federal employees are limited to lifetime maximum of six years on an IPA.  Like all other IPAs, the duration </w:t>
      </w:r>
      <w:r w:rsidR="007E5FE2">
        <w:t xml:space="preserve">of a given IPA </w:t>
      </w:r>
      <w:r>
        <w:t xml:space="preserve">cannot exceed four years without a break in service and a return to the Federal (VA) institution for at least one year. </w:t>
      </w:r>
      <w:r w:rsidRPr="002417EB">
        <w:t xml:space="preserve"> </w:t>
      </w:r>
      <w:r>
        <w:t>I</w:t>
      </w:r>
      <w:r w:rsidRPr="002417EB">
        <w:t>P</w:t>
      </w:r>
      <w:r>
        <w:t>A</w:t>
      </w:r>
      <w:r w:rsidRPr="002417EB">
        <w:t>s can be full-time or part-time.</w:t>
      </w:r>
    </w:p>
    <w:p w14:paraId="3631572B" w14:textId="77777777" w:rsidR="002417EB" w:rsidRDefault="002417EB" w:rsidP="002417EB">
      <w:pPr>
        <w:pStyle w:val="ListParagraph"/>
        <w:numPr>
          <w:ilvl w:val="0"/>
          <w:numId w:val="4"/>
        </w:numPr>
      </w:pPr>
      <w:r>
        <w:t>The VA employee on an IPA cannot be serving as the PI/PD.</w:t>
      </w:r>
    </w:p>
    <w:p w14:paraId="1DE9E15E" w14:textId="77777777" w:rsidR="002417EB" w:rsidRDefault="002417EB" w:rsidP="002417EB">
      <w:pPr>
        <w:pStyle w:val="ListParagraph"/>
      </w:pPr>
    </w:p>
    <w:p w14:paraId="30779756" w14:textId="77777777" w:rsidR="007B5616" w:rsidRPr="00705253" w:rsidRDefault="002417EB" w:rsidP="00B97F35">
      <w:r w:rsidRPr="00705253">
        <w:rPr>
          <w:u w:val="single"/>
        </w:rPr>
        <w:t>Ex</w:t>
      </w:r>
      <w:r w:rsidR="00705253">
        <w:rPr>
          <w:u w:val="single"/>
        </w:rPr>
        <w:t>ce</w:t>
      </w:r>
      <w:r w:rsidRPr="00705253">
        <w:rPr>
          <w:u w:val="single"/>
        </w:rPr>
        <w:t xml:space="preserve">ption #3:  A part-time VA employee </w:t>
      </w:r>
      <w:r w:rsidR="007B5616" w:rsidRPr="00705253">
        <w:rPr>
          <w:u w:val="single"/>
        </w:rPr>
        <w:t>who is also working part-time at a VA NPC on an NIH grant.</w:t>
      </w:r>
    </w:p>
    <w:p w14:paraId="76F57CF4" w14:textId="77777777" w:rsidR="007B5616" w:rsidRPr="00705253" w:rsidRDefault="007B5616" w:rsidP="007B5616">
      <w:pPr>
        <w:pStyle w:val="ListParagraph"/>
        <w:numPr>
          <w:ilvl w:val="0"/>
          <w:numId w:val="6"/>
        </w:numPr>
      </w:pPr>
      <w:r w:rsidRPr="00705253">
        <w:t xml:space="preserve">A part-time VA employee can also work on an NIH grant </w:t>
      </w:r>
      <w:r w:rsidR="007E5FE2" w:rsidRPr="00705253">
        <w:t>at</w:t>
      </w:r>
      <w:r w:rsidRPr="00705253">
        <w:t xml:space="preserve"> VA-NPC</w:t>
      </w:r>
      <w:r w:rsidR="007E5FE2" w:rsidRPr="00705253">
        <w:t xml:space="preserve"> as an employee of the NPC</w:t>
      </w:r>
      <w:r w:rsidRPr="00705253">
        <w:t>.  (Note that the NPC is not reimbursing the VA for the employee’s salary but is hiring the individual as an NPC employee</w:t>
      </w:r>
      <w:r w:rsidR="00705253">
        <w:t>)</w:t>
      </w:r>
      <w:r w:rsidRPr="00705253">
        <w:t xml:space="preserve">. </w:t>
      </w:r>
    </w:p>
    <w:p w14:paraId="42C79E1E" w14:textId="77777777" w:rsidR="007B5616" w:rsidRPr="00705253" w:rsidRDefault="007B5616" w:rsidP="007B5616">
      <w:pPr>
        <w:pStyle w:val="ListParagraph"/>
        <w:numPr>
          <w:ilvl w:val="0"/>
          <w:numId w:val="6"/>
        </w:numPr>
      </w:pPr>
      <w:r w:rsidRPr="00705253">
        <w:t>The VA employee can be on a term, time-limited, or permanent career position at the VA but must be less than full-time VA in order to be able to be paid by the NPC.</w:t>
      </w:r>
    </w:p>
    <w:p w14:paraId="7F09B9F0" w14:textId="77777777" w:rsidR="005C72E0" w:rsidRPr="00705253" w:rsidRDefault="007B5616" w:rsidP="007B5616">
      <w:pPr>
        <w:pStyle w:val="ListParagraph"/>
        <w:numPr>
          <w:ilvl w:val="0"/>
          <w:numId w:val="6"/>
        </w:numPr>
      </w:pPr>
      <w:r w:rsidRPr="00705253">
        <w:t>The total number of VA and NPC hours cannot exceed a full-time position, e.g. 8/8</w:t>
      </w:r>
      <w:r w:rsidRPr="00705253">
        <w:rPr>
          <w:vertAlign w:val="superscript"/>
        </w:rPr>
        <w:t>th</w:t>
      </w:r>
      <w:r w:rsidRPr="00705253">
        <w:t xml:space="preserve"> or 40 hours per week.  </w:t>
      </w:r>
    </w:p>
    <w:p w14:paraId="332F329C" w14:textId="77777777" w:rsidR="00990E0A" w:rsidRPr="00705253" w:rsidRDefault="007B5616" w:rsidP="007B5616">
      <w:pPr>
        <w:pStyle w:val="ListParagraph"/>
        <w:numPr>
          <w:ilvl w:val="0"/>
          <w:numId w:val="6"/>
        </w:numPr>
      </w:pPr>
      <w:r w:rsidRPr="00705253">
        <w:t>The employee can work on research at both the VA and NPC, but the duties at the NPC need to be separate from his or her VA duties.  In practice this means that the</w:t>
      </w:r>
      <w:r w:rsidR="00085E39" w:rsidRPr="00705253">
        <w:t xml:space="preserve"> work paid for by the NPC must not be for the same project paid for by VA time for VA salary</w:t>
      </w:r>
      <w:r w:rsidRPr="00705253">
        <w:t>.</w:t>
      </w:r>
    </w:p>
    <w:p w14:paraId="34B55F6B" w14:textId="77777777" w:rsidR="007B5616" w:rsidRPr="00705253" w:rsidRDefault="007B5616" w:rsidP="007B5616">
      <w:pPr>
        <w:pStyle w:val="ListParagraph"/>
        <w:numPr>
          <w:ilvl w:val="0"/>
          <w:numId w:val="6"/>
        </w:numPr>
      </w:pPr>
      <w:r w:rsidRPr="00705253">
        <w:t>The VA employee will need a WOC appointment to cover the work performed as an NPC employee since this will be outside of the scop</w:t>
      </w:r>
      <w:r w:rsidR="007E5FE2" w:rsidRPr="00705253">
        <w:t>e</w:t>
      </w:r>
      <w:r w:rsidRPr="00705253">
        <w:t xml:space="preserve"> of their VA </w:t>
      </w:r>
      <w:r w:rsidR="007E5FE2" w:rsidRPr="00705253">
        <w:t>job and must be performed outside of their VA tour of duty.</w:t>
      </w:r>
    </w:p>
    <w:p w14:paraId="2D1A500F" w14:textId="77777777" w:rsidR="007B5616" w:rsidRPr="005C72E0" w:rsidRDefault="007B5616" w:rsidP="007E5FE2">
      <w:pPr>
        <w:pStyle w:val="ListParagraph"/>
        <w:numPr>
          <w:ilvl w:val="0"/>
          <w:numId w:val="4"/>
        </w:numPr>
        <w:spacing w:after="0" w:line="240" w:lineRule="auto"/>
        <w:rPr>
          <w:rFonts w:asciiTheme="majorHAnsi" w:eastAsiaTheme="majorEastAsia" w:hAnsiTheme="majorHAnsi" w:cstheme="majorBidi"/>
          <w:i/>
          <w:iCs/>
          <w:color w:val="2F5496" w:themeColor="accent1" w:themeShade="BF"/>
          <w:sz w:val="24"/>
          <w:szCs w:val="24"/>
        </w:rPr>
      </w:pPr>
      <w:r w:rsidRPr="002417EB">
        <w:t xml:space="preserve">Example:  </w:t>
      </w:r>
      <w:r w:rsidR="007E5FE2" w:rsidRPr="007E5FE2">
        <w:rPr>
          <w:rFonts w:asciiTheme="majorHAnsi" w:eastAsiaTheme="majorEastAsia" w:hAnsiTheme="majorHAnsi" w:cstheme="majorBidi"/>
          <w:i/>
          <w:iCs/>
          <w:color w:val="000000" w:themeColor="text1"/>
          <w:sz w:val="24"/>
          <w:szCs w:val="24"/>
        </w:rPr>
        <w:t>A clinical coordinator works on a VA-funded CSP study and works on a NIH-funded clinical trial at the NPC</w:t>
      </w:r>
      <w:r w:rsidR="007E5FE2" w:rsidRPr="002417EB">
        <w:rPr>
          <w:i/>
          <w:color w:val="000000" w:themeColor="text1"/>
        </w:rPr>
        <w:t xml:space="preserve"> </w:t>
      </w:r>
    </w:p>
    <w:p w14:paraId="657E0E2A" w14:textId="68CF4638" w:rsidR="00085E39" w:rsidRPr="007E5FE2" w:rsidRDefault="00085E39" w:rsidP="007E5FE2">
      <w:pPr>
        <w:numPr>
          <w:ilvl w:val="0"/>
          <w:numId w:val="7"/>
        </w:numPr>
        <w:spacing w:before="60" w:after="60" w:line="240" w:lineRule="auto"/>
        <w:contextualSpacing/>
      </w:pPr>
      <w:r w:rsidRPr="007E5FE2">
        <w:t>The individual is a part</w:t>
      </w:r>
      <w:r w:rsidR="00221842">
        <w:t>-</w:t>
      </w:r>
      <w:r w:rsidRPr="007E5FE2">
        <w:t xml:space="preserve">time clinical coordinator (Tenure Group 3) for VA-CSP study: 15 hours per week, for which he or she receives a salary from the VAMC.  The individual is also a clinical coordinator for NIH-funded clinical trial awarded to the VANPC for 25 hours per week for which he or she receives additional compensation.  </w:t>
      </w:r>
    </w:p>
    <w:p w14:paraId="2FF23C5F" w14:textId="77777777" w:rsidR="00085E39" w:rsidRPr="007E5FE2" w:rsidRDefault="00085E39" w:rsidP="007E5FE2">
      <w:pPr>
        <w:numPr>
          <w:ilvl w:val="0"/>
          <w:numId w:val="7"/>
        </w:numPr>
        <w:spacing w:before="60" w:after="60" w:line="240" w:lineRule="auto"/>
        <w:contextualSpacing/>
      </w:pPr>
      <w:r w:rsidRPr="007E5FE2">
        <w:t>The VA-CSP trial and the NIH study at the VANPC are separate projects and the VAMC is prepared to certify there is no possibility of dual compensation.</w:t>
      </w:r>
    </w:p>
    <w:p w14:paraId="7B02DD8D" w14:textId="77777777" w:rsidR="00085E39" w:rsidRPr="007E5FE2" w:rsidRDefault="00085E39" w:rsidP="007E5FE2">
      <w:pPr>
        <w:numPr>
          <w:ilvl w:val="0"/>
          <w:numId w:val="7"/>
        </w:numPr>
        <w:spacing w:before="60" w:after="60" w:line="240" w:lineRule="auto"/>
        <w:contextualSpacing/>
      </w:pPr>
      <w:r w:rsidRPr="007E5FE2">
        <w:t>This case fits under the third exemption in GPS 17.6, in which the employee works on the VA-CSP trial as well as the NIH trial at the VANPC (two separate projects), but no more than 40 hours</w:t>
      </w:r>
      <w:r w:rsidR="00AD292C" w:rsidRPr="007E5FE2">
        <w:t xml:space="preserve"> combined.</w:t>
      </w:r>
    </w:p>
    <w:p w14:paraId="37FA70A5" w14:textId="77777777" w:rsidR="00085E39" w:rsidRDefault="00085E39" w:rsidP="00085E39"/>
    <w:p w14:paraId="1DC03EB0" w14:textId="5BA6E653" w:rsidR="008E45DF" w:rsidRDefault="00085E39" w:rsidP="00085E39">
      <w:r>
        <w:t xml:space="preserve">NIH will continue to research the use of Joint Personnel Agreements as potential mechanisms for paying VA employees as well as the possibility of paying VA employees who are moonlighting at the NPC.  </w:t>
      </w:r>
      <w:r w:rsidR="002E25F1">
        <w:t xml:space="preserve">We will inform you as decisions are reached on those issues.  </w:t>
      </w:r>
      <w:r w:rsidR="00D97C24">
        <w:t xml:space="preserve">Additionally, NIH will work with NAVREF and other stakeholders to review the authorizing legislation for NPCs to see where updates or changes may be warranted to better serve </w:t>
      </w:r>
      <w:r w:rsidR="007E5FE2">
        <w:t>V</w:t>
      </w:r>
      <w:r w:rsidR="00D97C24">
        <w:t xml:space="preserve">eterans.  </w:t>
      </w:r>
    </w:p>
    <w:p w14:paraId="2CDEDA17" w14:textId="77777777" w:rsidR="008E45DF" w:rsidRDefault="008E45DF">
      <w:r>
        <w:br w:type="page"/>
      </w:r>
    </w:p>
    <w:p w14:paraId="4EA2EE90" w14:textId="77777777" w:rsidR="00085E39" w:rsidRDefault="00085E39" w:rsidP="00085E39"/>
    <w:p w14:paraId="4B66B04C" w14:textId="7440C416" w:rsidR="008E45DF" w:rsidRPr="00410592" w:rsidRDefault="008E45DF" w:rsidP="00085E39">
      <w:r w:rsidRPr="00410592">
        <w:t>The SF 50 Form</w:t>
      </w:r>
      <w:r w:rsidR="00B33210" w:rsidRPr="00410592">
        <w:t xml:space="preserve"> </w:t>
      </w:r>
      <w:hyperlink r:id="rId7" w:history="1">
        <w:r w:rsidR="00B33210" w:rsidRPr="00410592">
          <w:rPr>
            <w:rStyle w:val="Hyperlink"/>
          </w:rPr>
          <w:t>https://www.opm.gov/forms/pdfimage/sf50.pdf</w:t>
        </w:r>
      </w:hyperlink>
      <w:r w:rsidR="00B33210" w:rsidRPr="00410592">
        <w:t xml:space="preserve"> </w:t>
      </w:r>
      <w:r w:rsidRPr="00410592">
        <w:t>is a Notification of Personnel Action.  A copy of this form should be available in each individual VA employee’s personnel file.</w:t>
      </w:r>
      <w:r w:rsidR="00B33210" w:rsidRPr="00410592">
        <w:t xml:space="preserve">  </w:t>
      </w:r>
      <w:r w:rsidR="00114513">
        <w:t>Review</w:t>
      </w:r>
      <w:r w:rsidR="000B6174">
        <w:t xml:space="preserve"> a copy of the SF50 for the employee you wish to compensate from the NIH grant. If Tenure Group 3 is li</w:t>
      </w:r>
      <w:bookmarkStart w:id="0" w:name="_GoBack"/>
      <w:bookmarkEnd w:id="0"/>
      <w:r w:rsidR="000B6174">
        <w:t>sted in Box 24 then the employee is eligible under Exc</w:t>
      </w:r>
      <w:r w:rsidR="00114513">
        <w:t>ep</w:t>
      </w:r>
      <w:r w:rsidR="000B6174">
        <w:t xml:space="preserve">tion </w:t>
      </w:r>
      <w:r w:rsidR="00114513">
        <w:t xml:space="preserve">1 and 3.  If Tenure Group 1 or 2 is listed in Box 24 then the employee is eligible under Exception 2. </w:t>
      </w:r>
      <w:r w:rsidR="00B33210" w:rsidRPr="00410592">
        <w:t>Both Competitive and Excepted Service personnel qualify.</w:t>
      </w:r>
    </w:p>
    <w:p w14:paraId="42783E3E" w14:textId="77777777" w:rsidR="008E45DF" w:rsidRDefault="008E45DF" w:rsidP="00085E39"/>
    <w:tbl>
      <w:tblPr>
        <w:tblStyle w:val="TableGrid"/>
        <w:tblW w:w="0" w:type="auto"/>
        <w:jc w:val="center"/>
        <w:tblLayout w:type="fixed"/>
        <w:tblLook w:val="04A0" w:firstRow="1" w:lastRow="0" w:firstColumn="1" w:lastColumn="0" w:noHBand="0" w:noVBand="1"/>
      </w:tblPr>
      <w:tblGrid>
        <w:gridCol w:w="922"/>
        <w:gridCol w:w="4034"/>
        <w:gridCol w:w="4034"/>
      </w:tblGrid>
      <w:tr w:rsidR="003C10C4" w14:paraId="335D6C7A" w14:textId="77777777" w:rsidTr="00B33210">
        <w:trPr>
          <w:trHeight w:val="357"/>
          <w:tblHeader/>
          <w:jc w:val="center"/>
        </w:trPr>
        <w:tc>
          <w:tcPr>
            <w:tcW w:w="922" w:type="dxa"/>
          </w:tcPr>
          <w:p w14:paraId="7D7580CA" w14:textId="77777777" w:rsidR="003C10C4" w:rsidRDefault="003C10C4" w:rsidP="00F81AA1">
            <w:pPr>
              <w:pStyle w:val="Default"/>
              <w:jc w:val="center"/>
              <w:rPr>
                <w:sz w:val="23"/>
                <w:szCs w:val="23"/>
              </w:rPr>
            </w:pPr>
            <w:r>
              <w:rPr>
                <w:i/>
                <w:iCs/>
                <w:sz w:val="23"/>
                <w:szCs w:val="23"/>
              </w:rPr>
              <w:t xml:space="preserve">Tenure Group </w:t>
            </w:r>
          </w:p>
        </w:tc>
        <w:tc>
          <w:tcPr>
            <w:tcW w:w="4034" w:type="dxa"/>
          </w:tcPr>
          <w:p w14:paraId="1FDAC7C3" w14:textId="07668A0B" w:rsidR="003C10C4" w:rsidRDefault="008E45DF" w:rsidP="00F81AA1">
            <w:pPr>
              <w:pStyle w:val="Default"/>
              <w:rPr>
                <w:sz w:val="23"/>
                <w:szCs w:val="23"/>
              </w:rPr>
            </w:pPr>
            <w:r>
              <w:rPr>
                <w:i/>
                <w:iCs/>
                <w:sz w:val="23"/>
                <w:szCs w:val="23"/>
              </w:rPr>
              <w:t>*</w:t>
            </w:r>
            <w:r w:rsidR="003C10C4">
              <w:rPr>
                <w:i/>
                <w:iCs/>
                <w:sz w:val="23"/>
                <w:szCs w:val="23"/>
              </w:rPr>
              <w:t xml:space="preserve">Competitive Service </w:t>
            </w:r>
          </w:p>
        </w:tc>
        <w:tc>
          <w:tcPr>
            <w:tcW w:w="4034" w:type="dxa"/>
          </w:tcPr>
          <w:p w14:paraId="272E396A" w14:textId="77777777" w:rsidR="003C10C4" w:rsidRDefault="003C10C4" w:rsidP="00F81AA1">
            <w:pPr>
              <w:pStyle w:val="Default"/>
              <w:rPr>
                <w:sz w:val="23"/>
                <w:szCs w:val="23"/>
              </w:rPr>
            </w:pPr>
            <w:r>
              <w:rPr>
                <w:i/>
                <w:iCs/>
                <w:sz w:val="23"/>
                <w:szCs w:val="23"/>
              </w:rPr>
              <w:t xml:space="preserve">Excepted Service </w:t>
            </w:r>
          </w:p>
        </w:tc>
      </w:tr>
      <w:tr w:rsidR="003C10C4" w14:paraId="2901F873" w14:textId="77777777" w:rsidTr="00B33210">
        <w:trPr>
          <w:trHeight w:val="358"/>
          <w:jc w:val="center"/>
        </w:trPr>
        <w:tc>
          <w:tcPr>
            <w:tcW w:w="922" w:type="dxa"/>
          </w:tcPr>
          <w:p w14:paraId="22175D6A" w14:textId="77777777" w:rsidR="003C10C4" w:rsidRDefault="003C10C4" w:rsidP="00F81AA1">
            <w:pPr>
              <w:pStyle w:val="Default"/>
              <w:jc w:val="center"/>
              <w:rPr>
                <w:sz w:val="23"/>
                <w:szCs w:val="23"/>
              </w:rPr>
            </w:pPr>
            <w:r>
              <w:rPr>
                <w:sz w:val="23"/>
                <w:szCs w:val="23"/>
              </w:rPr>
              <w:t xml:space="preserve">0 </w:t>
            </w:r>
          </w:p>
        </w:tc>
        <w:tc>
          <w:tcPr>
            <w:tcW w:w="4034" w:type="dxa"/>
          </w:tcPr>
          <w:p w14:paraId="75675DDB" w14:textId="77777777" w:rsidR="003C10C4" w:rsidRDefault="003C10C4" w:rsidP="00F81AA1">
            <w:pPr>
              <w:pStyle w:val="Default"/>
              <w:rPr>
                <w:sz w:val="23"/>
                <w:szCs w:val="23"/>
              </w:rPr>
            </w:pPr>
            <w:r>
              <w:rPr>
                <w:sz w:val="23"/>
                <w:szCs w:val="23"/>
              </w:rPr>
              <w:t xml:space="preserve">Employees who are not in tenure groups 1, 2, or 3 </w:t>
            </w:r>
          </w:p>
        </w:tc>
        <w:tc>
          <w:tcPr>
            <w:tcW w:w="4034" w:type="dxa"/>
          </w:tcPr>
          <w:p w14:paraId="19889D29" w14:textId="77777777" w:rsidR="003C10C4" w:rsidRDefault="003C10C4" w:rsidP="00F81AA1">
            <w:pPr>
              <w:pStyle w:val="Default"/>
              <w:rPr>
                <w:sz w:val="23"/>
                <w:szCs w:val="23"/>
              </w:rPr>
            </w:pPr>
            <w:r>
              <w:rPr>
                <w:sz w:val="23"/>
                <w:szCs w:val="23"/>
              </w:rPr>
              <w:t xml:space="preserve">Employees who are not in tenure groups 1, 2 or 3 </w:t>
            </w:r>
          </w:p>
        </w:tc>
      </w:tr>
      <w:tr w:rsidR="003C10C4" w14:paraId="196DA3E9" w14:textId="77777777" w:rsidTr="00B33210">
        <w:trPr>
          <w:trHeight w:val="917"/>
          <w:jc w:val="center"/>
        </w:trPr>
        <w:tc>
          <w:tcPr>
            <w:tcW w:w="922" w:type="dxa"/>
          </w:tcPr>
          <w:p w14:paraId="4BA5235A" w14:textId="77777777" w:rsidR="003C10C4" w:rsidRDefault="003C10C4" w:rsidP="00F81AA1">
            <w:pPr>
              <w:pStyle w:val="Default"/>
              <w:jc w:val="center"/>
              <w:rPr>
                <w:sz w:val="23"/>
                <w:szCs w:val="23"/>
              </w:rPr>
            </w:pPr>
            <w:r>
              <w:rPr>
                <w:sz w:val="23"/>
                <w:szCs w:val="23"/>
              </w:rPr>
              <w:t xml:space="preserve">1 </w:t>
            </w:r>
          </w:p>
        </w:tc>
        <w:tc>
          <w:tcPr>
            <w:tcW w:w="4034" w:type="dxa"/>
          </w:tcPr>
          <w:p w14:paraId="194A09CA" w14:textId="77777777" w:rsidR="003C10C4" w:rsidRDefault="003C10C4" w:rsidP="00F81AA1">
            <w:pPr>
              <w:pStyle w:val="Default"/>
              <w:rPr>
                <w:sz w:val="23"/>
                <w:szCs w:val="23"/>
              </w:rPr>
            </w:pPr>
            <w:r>
              <w:rPr>
                <w:sz w:val="23"/>
                <w:szCs w:val="23"/>
              </w:rPr>
              <w:t xml:space="preserve">Employees who are serving under career appointments and a) Have completed initial appointment probation or b) Are not required to serve initial appointment probation </w:t>
            </w:r>
          </w:p>
        </w:tc>
        <w:tc>
          <w:tcPr>
            <w:tcW w:w="4034" w:type="dxa"/>
          </w:tcPr>
          <w:p w14:paraId="486658E8" w14:textId="77777777" w:rsidR="003C10C4" w:rsidRDefault="003C10C4" w:rsidP="00F81AA1">
            <w:pPr>
              <w:pStyle w:val="Default"/>
              <w:rPr>
                <w:sz w:val="23"/>
                <w:szCs w:val="23"/>
              </w:rPr>
            </w:pPr>
            <w:r>
              <w:rPr>
                <w:sz w:val="23"/>
                <w:szCs w:val="23"/>
              </w:rPr>
              <w:t xml:space="preserve">Employees whose appointments carry no restrictions or conditions such as conditional, indefinite, specific time limitation, or trial period </w:t>
            </w:r>
          </w:p>
        </w:tc>
      </w:tr>
      <w:tr w:rsidR="003C10C4" w14:paraId="792D22E6" w14:textId="77777777" w:rsidTr="00B33210">
        <w:trPr>
          <w:trHeight w:val="917"/>
          <w:jc w:val="center"/>
        </w:trPr>
        <w:tc>
          <w:tcPr>
            <w:tcW w:w="922" w:type="dxa"/>
          </w:tcPr>
          <w:p w14:paraId="1E35DD24" w14:textId="77777777" w:rsidR="003C10C4" w:rsidRDefault="003C10C4" w:rsidP="00F81AA1">
            <w:pPr>
              <w:pStyle w:val="Default"/>
              <w:jc w:val="center"/>
              <w:rPr>
                <w:sz w:val="23"/>
                <w:szCs w:val="23"/>
              </w:rPr>
            </w:pPr>
            <w:r>
              <w:rPr>
                <w:sz w:val="23"/>
                <w:szCs w:val="23"/>
              </w:rPr>
              <w:t xml:space="preserve">2 </w:t>
            </w:r>
          </w:p>
        </w:tc>
        <w:tc>
          <w:tcPr>
            <w:tcW w:w="4034" w:type="dxa"/>
          </w:tcPr>
          <w:p w14:paraId="13716A19" w14:textId="77777777" w:rsidR="003C10C4" w:rsidRDefault="003C10C4" w:rsidP="00F81AA1">
            <w:pPr>
              <w:pStyle w:val="Default"/>
              <w:rPr>
                <w:sz w:val="23"/>
                <w:szCs w:val="23"/>
              </w:rPr>
            </w:pPr>
            <w:r>
              <w:rPr>
                <w:sz w:val="23"/>
                <w:szCs w:val="23"/>
              </w:rPr>
              <w:t xml:space="preserve">Employees serving under career-conditional appointments and career employees serving initial appointment probation </w:t>
            </w:r>
          </w:p>
        </w:tc>
        <w:tc>
          <w:tcPr>
            <w:tcW w:w="4034" w:type="dxa"/>
          </w:tcPr>
          <w:p w14:paraId="01000785" w14:textId="77777777" w:rsidR="003C10C4" w:rsidRDefault="003C10C4" w:rsidP="00F81AA1">
            <w:pPr>
              <w:pStyle w:val="Default"/>
              <w:rPr>
                <w:sz w:val="23"/>
                <w:szCs w:val="23"/>
              </w:rPr>
            </w:pPr>
            <w:r>
              <w:rPr>
                <w:sz w:val="23"/>
                <w:szCs w:val="23"/>
              </w:rPr>
              <w:t xml:space="preserve">Employees who are serving trial periods and employees whose tenure is equivalent to career-conditional tenure in the competitive service in agencies that use that type of appointment system </w:t>
            </w:r>
          </w:p>
        </w:tc>
      </w:tr>
      <w:tr w:rsidR="003C10C4" w14:paraId="2D8833E2" w14:textId="77777777" w:rsidTr="00B33210">
        <w:trPr>
          <w:trHeight w:val="2026"/>
          <w:jc w:val="center"/>
        </w:trPr>
        <w:tc>
          <w:tcPr>
            <w:tcW w:w="922" w:type="dxa"/>
          </w:tcPr>
          <w:p w14:paraId="53A0CA7D" w14:textId="77777777" w:rsidR="003C10C4" w:rsidRDefault="003C10C4" w:rsidP="00F81AA1">
            <w:pPr>
              <w:pStyle w:val="Default"/>
              <w:jc w:val="center"/>
              <w:rPr>
                <w:sz w:val="23"/>
                <w:szCs w:val="23"/>
              </w:rPr>
            </w:pPr>
            <w:r>
              <w:rPr>
                <w:sz w:val="23"/>
                <w:szCs w:val="23"/>
              </w:rPr>
              <w:t xml:space="preserve">3 </w:t>
            </w:r>
          </w:p>
        </w:tc>
        <w:tc>
          <w:tcPr>
            <w:tcW w:w="4034" w:type="dxa"/>
          </w:tcPr>
          <w:p w14:paraId="5A85093B" w14:textId="6AEE2302" w:rsidR="003C10C4" w:rsidRDefault="003C10C4" w:rsidP="00F81AA1">
            <w:pPr>
              <w:pStyle w:val="Default"/>
              <w:rPr>
                <w:sz w:val="23"/>
                <w:szCs w:val="23"/>
              </w:rPr>
            </w:pPr>
            <w:r>
              <w:rPr>
                <w:sz w:val="23"/>
                <w:szCs w:val="23"/>
              </w:rPr>
              <w:t>Employees who are serving under: a) Temporary appointments pending establishment of register (TAPER), b) Term appointments, c) Appointment-Status Quo, d) Any appointments designated as indefinite, e) Any other non</w:t>
            </w:r>
            <w:r w:rsidR="004B6B62">
              <w:rPr>
                <w:sz w:val="23"/>
                <w:szCs w:val="23"/>
              </w:rPr>
              <w:t>-</w:t>
            </w:r>
            <w:r>
              <w:rPr>
                <w:sz w:val="23"/>
                <w:szCs w:val="23"/>
              </w:rPr>
              <w:t>status non</w:t>
            </w:r>
            <w:r w:rsidR="004B6B62">
              <w:rPr>
                <w:sz w:val="23"/>
                <w:szCs w:val="23"/>
              </w:rPr>
              <w:t>-</w:t>
            </w:r>
            <w:r>
              <w:rPr>
                <w:sz w:val="23"/>
                <w:szCs w:val="23"/>
              </w:rPr>
              <w:t xml:space="preserve">temporary appointments which meet the definition of provisional appointments as defined in title 5, Code of Federal Regulations, parts 316.401 and 316.403. </w:t>
            </w:r>
          </w:p>
        </w:tc>
        <w:tc>
          <w:tcPr>
            <w:tcW w:w="4034" w:type="dxa"/>
          </w:tcPr>
          <w:p w14:paraId="3CC004E2" w14:textId="77777777" w:rsidR="003C10C4" w:rsidRDefault="003C10C4" w:rsidP="00F81AA1">
            <w:pPr>
              <w:pStyle w:val="Default"/>
              <w:rPr>
                <w:sz w:val="23"/>
                <w:szCs w:val="23"/>
              </w:rPr>
            </w:pPr>
            <w:r>
              <w:rPr>
                <w:sz w:val="23"/>
                <w:szCs w:val="23"/>
              </w:rPr>
              <w:t xml:space="preserve">Employees who: a) are serving under indefinite appointments, that is appointments without specific time limitation but not actually (or potentially) permanent; b) are serving under appointments with specific time limitations of more than one year; or c) though currently under appointments limited to one year or less, complete one year of current, continuous service. </w:t>
            </w:r>
          </w:p>
        </w:tc>
      </w:tr>
    </w:tbl>
    <w:p w14:paraId="55E1E404" w14:textId="2951CB27" w:rsidR="008E45DF" w:rsidRDefault="008E45DF" w:rsidP="008E45DF"/>
    <w:sectPr w:rsidR="008E45D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43056" w14:textId="77777777" w:rsidR="00B01855" w:rsidRDefault="00B01855" w:rsidP="00FC6262">
      <w:pPr>
        <w:spacing w:after="0" w:line="240" w:lineRule="auto"/>
      </w:pPr>
      <w:r>
        <w:separator/>
      </w:r>
    </w:p>
  </w:endnote>
  <w:endnote w:type="continuationSeparator" w:id="0">
    <w:p w14:paraId="6071F3F0" w14:textId="77777777" w:rsidR="00B01855" w:rsidRDefault="00B01855" w:rsidP="00FC6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8EE06" w14:textId="0283C1EC" w:rsidR="00FC6262" w:rsidRDefault="00FC6262">
    <w:pPr>
      <w:pStyle w:val="Footer"/>
    </w:pPr>
    <w:r>
      <w:t>Discussed and verified with NIH OPERA,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C929A" w14:textId="77777777" w:rsidR="00B01855" w:rsidRDefault="00B01855" w:rsidP="00FC6262">
      <w:pPr>
        <w:spacing w:after="0" w:line="240" w:lineRule="auto"/>
      </w:pPr>
      <w:r>
        <w:separator/>
      </w:r>
    </w:p>
  </w:footnote>
  <w:footnote w:type="continuationSeparator" w:id="0">
    <w:p w14:paraId="1C35B0CF" w14:textId="77777777" w:rsidR="00B01855" w:rsidRDefault="00B01855" w:rsidP="00FC6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90A3A"/>
    <w:multiLevelType w:val="hybridMultilevel"/>
    <w:tmpl w:val="20D26B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63621"/>
    <w:multiLevelType w:val="hybridMultilevel"/>
    <w:tmpl w:val="D7E28320"/>
    <w:lvl w:ilvl="0" w:tplc="BD561A1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8292D"/>
    <w:multiLevelType w:val="hybridMultilevel"/>
    <w:tmpl w:val="9884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1285F"/>
    <w:multiLevelType w:val="hybridMultilevel"/>
    <w:tmpl w:val="F13A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3A2962"/>
    <w:multiLevelType w:val="hybridMultilevel"/>
    <w:tmpl w:val="244E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A6DFE"/>
    <w:multiLevelType w:val="hybridMultilevel"/>
    <w:tmpl w:val="EE3C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B210A6"/>
    <w:multiLevelType w:val="hybridMultilevel"/>
    <w:tmpl w:val="E4229B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E17170E"/>
    <w:multiLevelType w:val="hybridMultilevel"/>
    <w:tmpl w:val="45A895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9D"/>
    <w:rsid w:val="00024345"/>
    <w:rsid w:val="00085E39"/>
    <w:rsid w:val="000B6174"/>
    <w:rsid w:val="00114513"/>
    <w:rsid w:val="00193B9D"/>
    <w:rsid w:val="001B30B2"/>
    <w:rsid w:val="001D3BE9"/>
    <w:rsid w:val="00221842"/>
    <w:rsid w:val="002417EB"/>
    <w:rsid w:val="002B213F"/>
    <w:rsid w:val="002E25F1"/>
    <w:rsid w:val="002F3998"/>
    <w:rsid w:val="00311BAD"/>
    <w:rsid w:val="003C10C4"/>
    <w:rsid w:val="0041047A"/>
    <w:rsid w:val="00410592"/>
    <w:rsid w:val="0049484D"/>
    <w:rsid w:val="004B6B62"/>
    <w:rsid w:val="00503F5B"/>
    <w:rsid w:val="005C5952"/>
    <w:rsid w:val="005C72E0"/>
    <w:rsid w:val="00625149"/>
    <w:rsid w:val="00625B53"/>
    <w:rsid w:val="006B2826"/>
    <w:rsid w:val="006F3EBB"/>
    <w:rsid w:val="00705253"/>
    <w:rsid w:val="007B5616"/>
    <w:rsid w:val="007E5FE2"/>
    <w:rsid w:val="00841C0A"/>
    <w:rsid w:val="008D6229"/>
    <w:rsid w:val="008E45DF"/>
    <w:rsid w:val="00984E63"/>
    <w:rsid w:val="00990E0A"/>
    <w:rsid w:val="00A22FEE"/>
    <w:rsid w:val="00A308CF"/>
    <w:rsid w:val="00A87047"/>
    <w:rsid w:val="00AB3B68"/>
    <w:rsid w:val="00AD292C"/>
    <w:rsid w:val="00AD59C7"/>
    <w:rsid w:val="00B01855"/>
    <w:rsid w:val="00B33210"/>
    <w:rsid w:val="00B43C53"/>
    <w:rsid w:val="00B448E9"/>
    <w:rsid w:val="00B97F35"/>
    <w:rsid w:val="00BD3225"/>
    <w:rsid w:val="00C14B56"/>
    <w:rsid w:val="00C32488"/>
    <w:rsid w:val="00CB1A8E"/>
    <w:rsid w:val="00CD12CB"/>
    <w:rsid w:val="00D97C24"/>
    <w:rsid w:val="00E641EE"/>
    <w:rsid w:val="00F447E6"/>
    <w:rsid w:val="00F83338"/>
    <w:rsid w:val="00FC6262"/>
    <w:rsid w:val="00FE2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94CC"/>
  <w15:chartTrackingRefBased/>
  <w15:docId w15:val="{B1358C12-70E6-4C43-BEED-05E53788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1EE"/>
    <w:pPr>
      <w:ind w:left="720"/>
      <w:contextualSpacing/>
    </w:pPr>
  </w:style>
  <w:style w:type="paragraph" w:styleId="BalloonText">
    <w:name w:val="Balloon Text"/>
    <w:basedOn w:val="Normal"/>
    <w:link w:val="BalloonTextChar"/>
    <w:uiPriority w:val="99"/>
    <w:semiHidden/>
    <w:unhideWhenUsed/>
    <w:rsid w:val="003C10C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10C4"/>
    <w:rPr>
      <w:rFonts w:ascii="Times New Roman" w:hAnsi="Times New Roman" w:cs="Times New Roman"/>
      <w:sz w:val="18"/>
      <w:szCs w:val="18"/>
    </w:rPr>
  </w:style>
  <w:style w:type="table" w:styleId="TableGrid">
    <w:name w:val="Table Grid"/>
    <w:basedOn w:val="TableNormal"/>
    <w:uiPriority w:val="39"/>
    <w:rsid w:val="003C10C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10C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447E6"/>
    <w:rPr>
      <w:sz w:val="16"/>
      <w:szCs w:val="16"/>
    </w:rPr>
  </w:style>
  <w:style w:type="paragraph" w:styleId="CommentText">
    <w:name w:val="annotation text"/>
    <w:basedOn w:val="Normal"/>
    <w:link w:val="CommentTextChar"/>
    <w:uiPriority w:val="99"/>
    <w:semiHidden/>
    <w:unhideWhenUsed/>
    <w:rsid w:val="00F447E6"/>
    <w:pPr>
      <w:spacing w:line="240" w:lineRule="auto"/>
    </w:pPr>
    <w:rPr>
      <w:sz w:val="20"/>
      <w:szCs w:val="20"/>
    </w:rPr>
  </w:style>
  <w:style w:type="character" w:customStyle="1" w:styleId="CommentTextChar">
    <w:name w:val="Comment Text Char"/>
    <w:basedOn w:val="DefaultParagraphFont"/>
    <w:link w:val="CommentText"/>
    <w:uiPriority w:val="99"/>
    <w:semiHidden/>
    <w:rsid w:val="00F447E6"/>
    <w:rPr>
      <w:sz w:val="20"/>
      <w:szCs w:val="20"/>
    </w:rPr>
  </w:style>
  <w:style w:type="paragraph" w:styleId="CommentSubject">
    <w:name w:val="annotation subject"/>
    <w:basedOn w:val="CommentText"/>
    <w:next w:val="CommentText"/>
    <w:link w:val="CommentSubjectChar"/>
    <w:uiPriority w:val="99"/>
    <w:semiHidden/>
    <w:unhideWhenUsed/>
    <w:rsid w:val="00F447E6"/>
    <w:rPr>
      <w:b/>
      <w:bCs/>
    </w:rPr>
  </w:style>
  <w:style w:type="character" w:customStyle="1" w:styleId="CommentSubjectChar">
    <w:name w:val="Comment Subject Char"/>
    <w:basedOn w:val="CommentTextChar"/>
    <w:link w:val="CommentSubject"/>
    <w:uiPriority w:val="99"/>
    <w:semiHidden/>
    <w:rsid w:val="00F447E6"/>
    <w:rPr>
      <w:b/>
      <w:bCs/>
      <w:sz w:val="20"/>
      <w:szCs w:val="20"/>
    </w:rPr>
  </w:style>
  <w:style w:type="paragraph" w:styleId="Header">
    <w:name w:val="header"/>
    <w:basedOn w:val="Normal"/>
    <w:link w:val="HeaderChar"/>
    <w:uiPriority w:val="99"/>
    <w:unhideWhenUsed/>
    <w:rsid w:val="00FC6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262"/>
  </w:style>
  <w:style w:type="paragraph" w:styleId="Footer">
    <w:name w:val="footer"/>
    <w:basedOn w:val="Normal"/>
    <w:link w:val="FooterChar"/>
    <w:uiPriority w:val="99"/>
    <w:unhideWhenUsed/>
    <w:rsid w:val="00FC6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262"/>
  </w:style>
  <w:style w:type="character" w:styleId="Hyperlink">
    <w:name w:val="Hyperlink"/>
    <w:basedOn w:val="DefaultParagraphFont"/>
    <w:uiPriority w:val="99"/>
    <w:unhideWhenUsed/>
    <w:rsid w:val="008E45DF"/>
    <w:rPr>
      <w:color w:val="0000FF"/>
      <w:u w:val="single"/>
    </w:rPr>
  </w:style>
  <w:style w:type="character" w:styleId="UnresolvedMention">
    <w:name w:val="Unresolved Mention"/>
    <w:basedOn w:val="DefaultParagraphFont"/>
    <w:uiPriority w:val="99"/>
    <w:semiHidden/>
    <w:unhideWhenUsed/>
    <w:rsid w:val="008E4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607138">
      <w:bodyDiv w:val="1"/>
      <w:marLeft w:val="0"/>
      <w:marRight w:val="0"/>
      <w:marTop w:val="0"/>
      <w:marBottom w:val="0"/>
      <w:divBdr>
        <w:top w:val="none" w:sz="0" w:space="0" w:color="auto"/>
        <w:left w:val="none" w:sz="0" w:space="0" w:color="auto"/>
        <w:bottom w:val="none" w:sz="0" w:space="0" w:color="auto"/>
        <w:right w:val="none" w:sz="0" w:space="0" w:color="auto"/>
      </w:divBdr>
    </w:div>
    <w:div w:id="137450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pm.gov/forms/pdfimage/sf5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6689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Starrs</dc:creator>
  <cp:keywords/>
  <dc:description/>
  <cp:lastModifiedBy>Cindy M Reutzel</cp:lastModifiedBy>
  <cp:revision>2</cp:revision>
  <dcterms:created xsi:type="dcterms:W3CDTF">2019-08-21T13:04:00Z</dcterms:created>
  <dcterms:modified xsi:type="dcterms:W3CDTF">2019-08-21T13:04:00Z</dcterms:modified>
</cp:coreProperties>
</file>